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17238F">
        <w:rPr>
          <w:b/>
          <w:color w:val="000000"/>
          <w:highlight w:val="yellow"/>
        </w:rPr>
        <w:t>06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D8456D">
        <w:rPr>
          <w:b/>
          <w:color w:val="000000"/>
          <w:highlight w:val="yellow"/>
          <w:u w:val="single"/>
        </w:rPr>
        <w:t>6</w:t>
      </w:r>
      <w:r w:rsidR="0017238F">
        <w:rPr>
          <w:b/>
          <w:color w:val="000000"/>
          <w:highlight w:val="yellow"/>
          <w:u w:val="single"/>
        </w:rPr>
        <w:t>9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DD5E55" w:rsidRP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17238F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 муниципального образования Динской район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(подведомственные учреждения на территории Динского района), 353200, Краснодарский край, Динской район, ст. Динская, ул. Красная, 82, тел./факс: (86162) 63046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0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17238F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39"/>
      <w:bookmarkStart w:id="4" w:name="OLE_LINK113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организации и осуществлению горячего питания детей школьного возраста в лагерях дневного пребывания в 2008 году на базе учреждений образования Динского района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4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D8456D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D8456D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3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17238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D8456D">
              <w:rPr>
                <w:b/>
                <w:color w:val="000000"/>
                <w:sz w:val="24"/>
                <w:szCs w:val="24"/>
                <w:highlight w:val="yellow"/>
              </w:rPr>
              <w:t>6</w:t>
            </w:r>
            <w:r w:rsidR="0017238F">
              <w:rPr>
                <w:b/>
                <w:color w:val="000000"/>
                <w:sz w:val="24"/>
                <w:szCs w:val="24"/>
                <w:highlight w:val="yellow"/>
              </w:rPr>
              <w:t>9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C62F54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="0017238F">
              <w:rPr>
                <w:color w:val="000000"/>
                <w:sz w:val="24"/>
                <w:szCs w:val="24"/>
                <w:highlight w:val="yellow"/>
              </w:rPr>
              <w:t>Юг-Продсервис</w:t>
            </w:r>
            <w:proofErr w:type="spellEnd"/>
            <w:r w:rsidR="0017238F">
              <w:rPr>
                <w:color w:val="000000"/>
                <w:sz w:val="24"/>
                <w:szCs w:val="24"/>
                <w:highlight w:val="yellow"/>
              </w:rPr>
              <w:t>», 353210, Краснодарский край, Динской район,</w:t>
            </w:r>
            <w:r w:rsidR="00EC3E06">
              <w:rPr>
                <w:color w:val="000000"/>
                <w:sz w:val="24"/>
                <w:szCs w:val="24"/>
                <w:highlight w:val="yellow"/>
              </w:rPr>
              <w:t xml:space="preserve"> ст. Новотитаровская, ул. Ленина, 185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D8456D" w:rsidP="00EC3E06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16</w:t>
            </w:r>
            <w:r w:rsidR="00EC3E06">
              <w:rPr>
                <w:b/>
                <w:color w:val="000000"/>
                <w:sz w:val="24"/>
                <w:szCs w:val="24"/>
                <w:highlight w:val="yellow"/>
              </w:rPr>
              <w:t>9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685D39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="00EC3E06">
              <w:rPr>
                <w:color w:val="000000"/>
                <w:sz w:val="24"/>
                <w:szCs w:val="24"/>
                <w:highlight w:val="yellow"/>
              </w:rPr>
              <w:t>Юг-Продсервис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D8456D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C3E06"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Управление образования муниципального образования Динской 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район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обязан заключить с единственным участником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C3E06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ООО «</w:t>
      </w:r>
      <w:proofErr w:type="spellStart"/>
      <w:r w:rsidR="00EC3E06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Юг-Продсервис</w:t>
      </w:r>
      <w:proofErr w:type="spellEnd"/>
      <w:r w:rsidR="00EC3E06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(</w:t>
      </w:r>
      <w:r w:rsidR="00EC3E06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353210, Краснодарский край, Динской район, ст. Новотитаровская, ул. Ленина, 185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</w:t>
      </w:r>
      <w:proofErr w:type="gramEnd"/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>предусмотренных</w:t>
      </w:r>
      <w:proofErr w:type="gramEnd"/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685D39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</w:t>
            </w:r>
            <w:r w:rsidRPr="00EA2CC5">
              <w:rPr>
                <w:b/>
                <w:sz w:val="24"/>
                <w:szCs w:val="26"/>
              </w:rPr>
              <w:t>о</w:t>
            </w:r>
            <w:r w:rsidRPr="00EA2CC5">
              <w:rPr>
                <w:b/>
                <w:sz w:val="24"/>
                <w:szCs w:val="26"/>
              </w:rPr>
              <w:t>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295312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EC3E06">
        <w:rPr>
          <w:noProof/>
          <w:color w:val="808080"/>
          <w:sz w:val="16"/>
          <w:szCs w:val="16"/>
        </w:rPr>
        <w:t>F:\Документы\ТОРГИ - 2008\169 Летние лагеря\01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EC3E06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</w:p>
    <w:p w:rsidR="007013EA" w:rsidRDefault="00EC3E06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МО Динской район</w:t>
      </w:r>
      <w:r w:rsidR="00C62F54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Н.В. Сатарова</w:t>
      </w:r>
    </w:p>
    <w:p w:rsidR="006C057A" w:rsidRDefault="006C057A" w:rsidP="007013EA">
      <w:pPr>
        <w:pStyle w:val="a5"/>
        <w:spacing w:after="0"/>
        <w:jc w:val="both"/>
      </w:pPr>
    </w:p>
    <w:sectPr w:rsidR="006C057A" w:rsidSect="00D8456D">
      <w:pgSz w:w="11906" w:h="16838"/>
      <w:pgMar w:top="709" w:right="56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10658"/>
    <w:rsid w:val="00225213"/>
    <w:rsid w:val="0022697B"/>
    <w:rsid w:val="0029531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4A34"/>
    <w:rsid w:val="004E2E8A"/>
    <w:rsid w:val="004F6550"/>
    <w:rsid w:val="005011C3"/>
    <w:rsid w:val="00512499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41037"/>
    <w:rsid w:val="0077224F"/>
    <w:rsid w:val="007A6FCE"/>
    <w:rsid w:val="007B1BB6"/>
    <w:rsid w:val="007B7724"/>
    <w:rsid w:val="007F2C50"/>
    <w:rsid w:val="00826465"/>
    <w:rsid w:val="008703C9"/>
    <w:rsid w:val="008E4885"/>
    <w:rsid w:val="00900A07"/>
    <w:rsid w:val="009B06EF"/>
    <w:rsid w:val="009B6BF6"/>
    <w:rsid w:val="009E7100"/>
    <w:rsid w:val="00A37ADE"/>
    <w:rsid w:val="00A62CB7"/>
    <w:rsid w:val="00AA46C7"/>
    <w:rsid w:val="00AB332C"/>
    <w:rsid w:val="00B2650F"/>
    <w:rsid w:val="00BC2770"/>
    <w:rsid w:val="00BE536E"/>
    <w:rsid w:val="00BF0B9D"/>
    <w:rsid w:val="00C02CF4"/>
    <w:rsid w:val="00C3624A"/>
    <w:rsid w:val="00C40912"/>
    <w:rsid w:val="00C62F54"/>
    <w:rsid w:val="00C824EC"/>
    <w:rsid w:val="00C924A9"/>
    <w:rsid w:val="00C95A01"/>
    <w:rsid w:val="00CC71FD"/>
    <w:rsid w:val="00CD17B6"/>
    <w:rsid w:val="00D1172D"/>
    <w:rsid w:val="00D8456D"/>
    <w:rsid w:val="00DD475D"/>
    <w:rsid w:val="00DD5E55"/>
    <w:rsid w:val="00DE2BDC"/>
    <w:rsid w:val="00E03C33"/>
    <w:rsid w:val="00E54B7E"/>
    <w:rsid w:val="00E72CD1"/>
    <w:rsid w:val="00EC3E06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2008-06-18T10:15:00Z</cp:lastPrinted>
  <dcterms:created xsi:type="dcterms:W3CDTF">2008-06-18T09:53:00Z</dcterms:created>
  <dcterms:modified xsi:type="dcterms:W3CDTF">2008-06-18T10:15:00Z</dcterms:modified>
</cp:coreProperties>
</file>