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3B" w:rsidRPr="00011CC8" w:rsidRDefault="00CA0F79" w:rsidP="00C83801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Ответы на вопросы, поступившие в рамках проведения семинара </w:t>
      </w:r>
      <w:r w:rsidR="00547E3B" w:rsidRPr="00011CC8">
        <w:rPr>
          <w:b/>
          <w:color w:val="000000" w:themeColor="text1"/>
          <w:sz w:val="32"/>
          <w:szCs w:val="32"/>
        </w:rPr>
        <w:t>по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>
        <w:rPr>
          <w:b/>
          <w:color w:val="000000" w:themeColor="text1"/>
          <w:sz w:val="32"/>
          <w:szCs w:val="32"/>
        </w:rPr>
        <w:t>теме «О</w:t>
      </w:r>
      <w:r w:rsidR="00547E3B" w:rsidRPr="00011CC8">
        <w:rPr>
          <w:b/>
          <w:color w:val="000000" w:themeColor="text1"/>
          <w:sz w:val="32"/>
          <w:szCs w:val="32"/>
        </w:rPr>
        <w:t>рганизаци</w:t>
      </w:r>
      <w:r>
        <w:rPr>
          <w:b/>
          <w:color w:val="000000" w:themeColor="text1"/>
          <w:sz w:val="32"/>
          <w:szCs w:val="32"/>
        </w:rPr>
        <w:t>я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и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проведени</w:t>
      </w:r>
      <w:r>
        <w:rPr>
          <w:b/>
          <w:color w:val="000000" w:themeColor="text1"/>
          <w:sz w:val="32"/>
          <w:szCs w:val="32"/>
        </w:rPr>
        <w:t>е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25792F" w:rsidRPr="00011CC8">
        <w:rPr>
          <w:b/>
          <w:color w:val="000000" w:themeColor="text1"/>
          <w:sz w:val="32"/>
          <w:szCs w:val="32"/>
        </w:rPr>
        <w:t xml:space="preserve">контроля </w:t>
      </w:r>
      <w:r w:rsidR="00547E3B" w:rsidRPr="00011CC8">
        <w:rPr>
          <w:b/>
          <w:color w:val="000000" w:themeColor="text1"/>
          <w:sz w:val="32"/>
          <w:szCs w:val="32"/>
        </w:rPr>
        <w:t>в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сфере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закупок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на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муниципальном</w:t>
      </w:r>
      <w:r w:rsidR="005E22C2" w:rsidRPr="00011CC8">
        <w:rPr>
          <w:b/>
          <w:color w:val="000000" w:themeColor="text1"/>
          <w:sz w:val="32"/>
          <w:szCs w:val="32"/>
        </w:rPr>
        <w:t> </w:t>
      </w:r>
      <w:r w:rsidR="00547E3B" w:rsidRPr="00011CC8">
        <w:rPr>
          <w:b/>
          <w:color w:val="000000" w:themeColor="text1"/>
          <w:sz w:val="32"/>
          <w:szCs w:val="32"/>
        </w:rPr>
        <w:t>уровне</w:t>
      </w:r>
      <w:r>
        <w:rPr>
          <w:b/>
          <w:color w:val="000000" w:themeColor="text1"/>
          <w:sz w:val="32"/>
          <w:szCs w:val="32"/>
        </w:rPr>
        <w:t>»</w:t>
      </w:r>
    </w:p>
    <w:tbl>
      <w:tblPr>
        <w:tblStyle w:val="a3"/>
        <w:tblW w:w="15837" w:type="dxa"/>
        <w:jc w:val="center"/>
        <w:tblLook w:val="04A0" w:firstRow="1" w:lastRow="0" w:firstColumn="1" w:lastColumn="0" w:noHBand="0" w:noVBand="1"/>
      </w:tblPr>
      <w:tblGrid>
        <w:gridCol w:w="280"/>
        <w:gridCol w:w="2300"/>
        <w:gridCol w:w="6352"/>
        <w:gridCol w:w="6905"/>
      </w:tblGrid>
      <w:tr w:rsidR="00011CC8" w:rsidRPr="00011CC8" w:rsidTr="00866140">
        <w:trPr>
          <w:trHeight w:val="24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  <w:vAlign w:val="center"/>
          </w:tcPr>
          <w:p w:rsidR="005913A5" w:rsidRPr="00011CC8" w:rsidRDefault="005913A5" w:rsidP="00430B39">
            <w:pPr>
              <w:ind w:left="-108" w:right="-43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011CC8" w:rsidRPr="00011CC8" w:rsidTr="00866140">
        <w:trPr>
          <w:trHeight w:val="24"/>
          <w:jc w:val="center"/>
        </w:trPr>
        <w:tc>
          <w:tcPr>
            <w:tcW w:w="280" w:type="dxa"/>
            <w:vAlign w:val="center"/>
          </w:tcPr>
          <w:p w:rsidR="005913A5" w:rsidRPr="00011CC8" w:rsidRDefault="005913A5" w:rsidP="007D1626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00" w:type="dxa"/>
            <w:vAlign w:val="center"/>
          </w:tcPr>
          <w:p w:rsidR="005913A5" w:rsidRPr="00011CC8" w:rsidRDefault="005913A5" w:rsidP="007D1626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352" w:type="dxa"/>
            <w:vAlign w:val="center"/>
          </w:tcPr>
          <w:p w:rsidR="005913A5" w:rsidRPr="00011CC8" w:rsidRDefault="005913A5" w:rsidP="005E16BD">
            <w:pPr>
              <w:ind w:left="26" w:right="10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 к семинару</w:t>
            </w:r>
          </w:p>
        </w:tc>
        <w:tc>
          <w:tcPr>
            <w:tcW w:w="6905" w:type="dxa"/>
            <w:vAlign w:val="center"/>
          </w:tcPr>
          <w:p w:rsidR="005913A5" w:rsidRPr="00011CC8" w:rsidRDefault="005913A5" w:rsidP="005E16BD">
            <w:pPr>
              <w:ind w:left="-108" w:right="-4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 на вопрос</w:t>
            </w:r>
          </w:p>
        </w:tc>
      </w:tr>
      <w:tr w:rsidR="00011CC8" w:rsidRPr="00011CC8" w:rsidTr="00866140">
        <w:trPr>
          <w:trHeight w:val="24"/>
          <w:jc w:val="center"/>
        </w:trPr>
        <w:tc>
          <w:tcPr>
            <w:tcW w:w="280" w:type="dxa"/>
            <w:vAlign w:val="center"/>
          </w:tcPr>
          <w:p w:rsidR="005913A5" w:rsidRPr="00011CC8" w:rsidRDefault="005913A5" w:rsidP="007D1626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00" w:type="dxa"/>
            <w:vAlign w:val="center"/>
          </w:tcPr>
          <w:p w:rsidR="005913A5" w:rsidRPr="00011CC8" w:rsidRDefault="005913A5" w:rsidP="007D1626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352" w:type="dxa"/>
            <w:vAlign w:val="center"/>
          </w:tcPr>
          <w:p w:rsidR="005913A5" w:rsidRPr="00011CC8" w:rsidRDefault="005913A5" w:rsidP="005E16BD">
            <w:pPr>
              <w:ind w:left="26" w:right="10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905" w:type="dxa"/>
            <w:vAlign w:val="center"/>
          </w:tcPr>
          <w:p w:rsidR="005913A5" w:rsidRPr="00011CC8" w:rsidRDefault="005913A5" w:rsidP="005E16BD">
            <w:pPr>
              <w:ind w:left="-108" w:right="-4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</w:tr>
      <w:tr w:rsidR="00011CC8" w:rsidRPr="00011CC8" w:rsidTr="00866140">
        <w:trPr>
          <w:trHeight w:val="12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  <w:vAlign w:val="center"/>
          </w:tcPr>
          <w:p w:rsidR="00B70722" w:rsidRPr="00011CC8" w:rsidRDefault="00B70722" w:rsidP="005E16BD">
            <w:pPr>
              <w:ind w:left="-108" w:right="-43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011CC8" w:rsidRPr="00011CC8" w:rsidTr="00866140">
        <w:trPr>
          <w:trHeight w:val="426"/>
          <w:jc w:val="center"/>
        </w:trPr>
        <w:tc>
          <w:tcPr>
            <w:tcW w:w="280" w:type="dxa"/>
            <w:vAlign w:val="center"/>
          </w:tcPr>
          <w:p w:rsidR="005913A5" w:rsidRPr="00011CC8" w:rsidRDefault="005913A5" w:rsidP="007D1626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00" w:type="dxa"/>
            <w:vAlign w:val="center"/>
          </w:tcPr>
          <w:p w:rsidR="005913A5" w:rsidRPr="00011CC8" w:rsidRDefault="00CA0F79" w:rsidP="00697270">
            <w:pPr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info" w:tooltip="Подробная информация" w:history="1">
              <w:r w:rsidR="005913A5" w:rsidRPr="00011CC8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АМО г.-к. Анапа</w:t>
              </w:r>
            </w:hyperlink>
          </w:p>
        </w:tc>
        <w:tc>
          <w:tcPr>
            <w:tcW w:w="6352" w:type="dxa"/>
            <w:vAlign w:val="center"/>
          </w:tcPr>
          <w:p w:rsidR="005913A5" w:rsidRPr="00011CC8" w:rsidRDefault="005913A5" w:rsidP="000E1CE3">
            <w:pPr>
              <w:ind w:right="102" w:firstLine="2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 Ответственность заказчика за нарушение при планировании закупок товаров, работ, услуг для муниципальных нужд. Возможность привлечения к административной ответственности по ст. 7.29.3 КоАП РФ органами прокуратуры в судебном порядке.</w:t>
            </w:r>
          </w:p>
          <w:p w:rsidR="005913A5" w:rsidRPr="00011CC8" w:rsidRDefault="005913A5" w:rsidP="005913A5">
            <w:pPr>
              <w:ind w:right="102" w:firstLine="2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 Срок наступления административного правонарушения при направлении в реестр контрактов информации и документов, указанных в п. 10, 13 ч. 2 ст. 103 Закона при цикличной поставке, приемке и оплате товаров, работ и услуг.</w:t>
            </w:r>
          </w:p>
        </w:tc>
        <w:tc>
          <w:tcPr>
            <w:tcW w:w="6905" w:type="dxa"/>
            <w:shd w:val="clear" w:color="auto" w:fill="auto"/>
            <w:vAlign w:val="center"/>
          </w:tcPr>
          <w:p w:rsidR="000F487C" w:rsidRPr="00011CC8" w:rsidRDefault="00321922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 1.</w:t>
            </w:r>
            <w:r w:rsidR="003B28EB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2C7A" w:rsidRPr="00011CC8" w:rsidRDefault="00BD1F81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Правом рассмотрения нарушений, связанных с несоблюдением требований законодательства РФ о контрактной системе при планировании закупок, квалифицируемых по ст. 7.29.3 КоАП РФ, в соответствии со ст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атьями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23.7, 23.7.1 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КоАП РФ обладают исключительно федеральные органы исполнительной власти и органы исполнительной власти субъектов РФ, осуществляющие функции по контролю и надзору в финансово-бюджетной сфере. </w:t>
            </w:r>
          </w:p>
          <w:p w:rsidR="00321922" w:rsidRPr="00011CC8" w:rsidRDefault="00CD2C7A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Полномочия вышеуказанных органов ограничены закупками, осуществляемыми в рамках соответствующего бюджета. И, соответственно, они не наделены полномочиями по рассмотрению указанной категории административных правонарушений в отношении муниципальных закупок.</w:t>
            </w:r>
          </w:p>
          <w:p w:rsidR="000F487C" w:rsidRPr="00011CC8" w:rsidRDefault="00CD2C7A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Прокуратура, как орган уполномоченный возбуждать дело о любом административном правонарушении, ответственность за которое предусмотрена КоАП РФ или законом субъекта Российской Федерации, </w:t>
            </w:r>
            <w:r w:rsidR="000F487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может возбудить дело по данному составу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муниципального заказчика</w:t>
            </w:r>
            <w:r w:rsidR="00470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Вместе с тем, привлечение к административной ответственности </w:t>
            </w:r>
            <w:r w:rsidR="00866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статье 7.29.3 КоАП РФ в судебном порядке не может быть реализовано, поскольку </w:t>
            </w:r>
            <w:r w:rsidR="000F487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321922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полномочия суда рассмотрение данного вида </w:t>
            </w:r>
            <w:r w:rsidR="00372609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</w:t>
            </w:r>
            <w:r w:rsidR="00321922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нарушений не входит</w:t>
            </w:r>
            <w:r w:rsidR="000F487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D1F81" w:rsidRPr="00011CC8" w:rsidRDefault="00011CC8" w:rsidP="00BF36ED">
            <w:pPr>
              <w:widowControl w:val="0"/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Ожидаем, что в ближайшее время пробелы</w:t>
            </w:r>
            <w:r w:rsidR="00BD1F81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устранены. В </w:t>
            </w:r>
            <w:r w:rsidR="00372609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настоящее время</w:t>
            </w:r>
            <w:r w:rsidR="00BD1F81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проходит процедуру согласования разработанный Московской областной Думой </w:t>
            </w:r>
            <w:r w:rsidR="000F487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РФ</w:t>
            </w:r>
            <w:r w:rsidR="00BD1F81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 нормативного правового акта «О внесении изменений в статьи 23.1 и 28.3 Кодекса Российской Федерации об административных правонаруш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ениях» (Законопроект № 685434-7 </w:t>
            </w:r>
            <w:r w:rsidR="00BD1F81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(http://sozd.duma.gov.ru/bill/685434-7), в случае принятия которого муниципальным органам финансового контроля будут предоставлены полномочия по составлению протоколов за совершение нарушений при планировании закупок по статье </w:t>
            </w:r>
            <w:r w:rsidR="00BD1F81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7.29.3 КоАП РФ и приемке результатов исполнения контрактов по частям 8 - 10 статьи 7.32 КоАП РФ. Рассматривать такие протоколы будут суды. </w:t>
            </w:r>
          </w:p>
          <w:p w:rsidR="002E3C97" w:rsidRPr="00011CC8" w:rsidRDefault="00321922" w:rsidP="00BF36ED">
            <w:pPr>
              <w:ind w:left="176" w:right="124"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 2.</w:t>
            </w:r>
            <w:r w:rsidR="003D273D"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8798D" w:rsidRPr="00011CC8" w:rsidRDefault="0028798D" w:rsidP="00BF36ED">
            <w:pPr>
              <w:ind w:left="176" w:right="124" w:firstLine="42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Согласно части 3 статьи 103 Закона </w:t>
            </w:r>
            <w:r w:rsidR="005B4325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44</w:t>
            </w: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обязанность по направлению информации и документов в орган, уполномоченный на ведение реестра контрактов, заключенных заказчиками, у заказчика возникает в течение пяти рабочих дней с даты наступления одного из следующих событий: заключения, изменения, исполнения (расторжения) контракта, принятие заказчиком решения о приемке товара (работы, услуги).</w:t>
            </w:r>
          </w:p>
          <w:p w:rsidR="00321922" w:rsidRPr="00011CC8" w:rsidRDefault="0028798D" w:rsidP="00BF36ED">
            <w:pPr>
              <w:ind w:left="176" w:right="124" w:firstLine="42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Вместе с тем, положения Закона</w:t>
            </w:r>
            <w:r w:rsidR="005B4325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 44</w:t>
            </w: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принятых в соответствии с ним нормативных правовых актов не содержат требований о направлении сведений в реестр контрактов, заключенных заказчиками, после частичной приемки, частичного исполнения по контракту. Если заключенный контракт не предусматривает отдельные этапы его исполнения, обязанность по направлению документа о приемке и информации об исполнении по контракту необходимо осуществлять только после принятия решения о приемке всего количества товара (работы, услуги), предусмотренного таким контрактом, и его оплаты в полном объеме соответственно.</w:t>
            </w:r>
          </w:p>
        </w:tc>
      </w:tr>
      <w:tr w:rsidR="00011CC8" w:rsidRPr="00011CC8" w:rsidTr="00866140">
        <w:trPr>
          <w:trHeight w:val="19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  <w:vAlign w:val="center"/>
          </w:tcPr>
          <w:p w:rsidR="00B70722" w:rsidRPr="00011CC8" w:rsidRDefault="00B70722" w:rsidP="00BF36ED">
            <w:pPr>
              <w:ind w:left="176" w:right="124" w:firstLine="425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011CC8" w:rsidRPr="00011CC8" w:rsidTr="00866140">
        <w:trPr>
          <w:trHeight w:val="189"/>
          <w:jc w:val="center"/>
        </w:trPr>
        <w:tc>
          <w:tcPr>
            <w:tcW w:w="280" w:type="dxa"/>
            <w:vAlign w:val="center"/>
          </w:tcPr>
          <w:p w:rsidR="005913A5" w:rsidRPr="00011CC8" w:rsidRDefault="005913A5" w:rsidP="007D1626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00" w:type="dxa"/>
            <w:vAlign w:val="center"/>
          </w:tcPr>
          <w:p w:rsidR="005913A5" w:rsidRPr="00011CC8" w:rsidRDefault="005913A5" w:rsidP="00697270">
            <w:pPr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АМО </w:t>
            </w:r>
            <w:proofErr w:type="spellStart"/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352" w:type="dxa"/>
            <w:vAlign w:val="center"/>
          </w:tcPr>
          <w:p w:rsidR="005913A5" w:rsidRPr="00011CC8" w:rsidRDefault="005913A5" w:rsidP="008A2067">
            <w:pPr>
              <w:ind w:left="26" w:right="102" w:firstLine="1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Размещено извещение о проведении закупки, заключен контракт, но на момент внесения сведений в реестр контракта лицо, наделенное правом ЭЦП в ЕИС директор уволился, контрактный управляющий назначен в учреждении, но правом подписи не обладает. Новый </w:t>
            </w:r>
            <w:proofErr w:type="spellStart"/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директора назначен, ЭЦП, чтобы внести сведения о заключении контракта в реестр контракта в отведенные Законом о контрактной системе сроки, еще не сделана, сведения в реестр контракта внесены, но с нарушением срока.</w:t>
            </w:r>
          </w:p>
          <w:p w:rsidR="005913A5" w:rsidRPr="00011CC8" w:rsidRDefault="005913A5" w:rsidP="005913A5">
            <w:pPr>
              <w:ind w:left="26" w:right="102" w:firstLine="1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Вопрос: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в этом случае рассматривать нарушение, на кого возложить ответственность за данное нарушение если оно не связано с виновными действиями (бездействиями) Заказчика, что подтвердится сведениями в результате проверки?</w:t>
            </w:r>
          </w:p>
        </w:tc>
        <w:tc>
          <w:tcPr>
            <w:tcW w:w="6905" w:type="dxa"/>
            <w:vAlign w:val="center"/>
          </w:tcPr>
          <w:p w:rsidR="0028798D" w:rsidRPr="00011CC8" w:rsidRDefault="004D69BF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Ответ.</w:t>
            </w:r>
            <w:r w:rsidR="0028798D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несвоевременное направление в органы, уполномоченные на ведение реестра контрактов, заключенных заказчиками, информации (сведений) и (или) документов, подлежащих включению в такие реестры контрактов, предусмотрена административная ответственность частью 2 статьи 7.31 КоАП РФ.</w:t>
            </w:r>
          </w:p>
          <w:p w:rsidR="002F1A03" w:rsidRPr="00011CC8" w:rsidRDefault="002F1A03" w:rsidP="00BF36ED">
            <w:pPr>
              <w:widowControl w:val="0"/>
              <w:autoSpaceDE w:val="0"/>
              <w:autoSpaceDN w:val="0"/>
              <w:adjustRightInd w:val="0"/>
              <w:spacing w:line="233" w:lineRule="auto"/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Временем совершения указанного административного правонарушения является день, следующий за днем окончания срока для исполнения возложенных обязанностей по направлению соответствующей информации в федеральный орган.</w:t>
            </w:r>
          </w:p>
          <w:p w:rsidR="0028798D" w:rsidRPr="00011CC8" w:rsidRDefault="002F1A03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Таким образом, административной ответственности подлежит то </w:t>
            </w:r>
            <w:r w:rsidR="00872C1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лицо, которое исполняло соответствующие обязанности на момент, когда </w:t>
            </w:r>
            <w:r w:rsidR="005B4325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предусмотренные частью 2 статьи 103 Закона № 44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документы и информация подлежали направлению в реестр контрактов.</w:t>
            </w:r>
          </w:p>
          <w:p w:rsidR="003D273D" w:rsidRPr="00011CC8" w:rsidRDefault="00AC301C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касается ситуации, когда</w:t>
            </w:r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из-за кадровых перестано</w:t>
            </w:r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вок у заказчика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нет лица, наделенного </w:t>
            </w:r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ЭЦП,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 здесь необходимо выяснять </w:t>
            </w:r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 обстоятельства, </w:t>
            </w:r>
            <w:proofErr w:type="gramStart"/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такие например</w:t>
            </w:r>
            <w:proofErr w:type="gramEnd"/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как: с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какого времени назначен директор,</w:t>
            </w:r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какой срок была оформлена ЭЦП,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какой период не бы</w:t>
            </w:r>
            <w:r w:rsidR="005B4325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 лица, наделенного правом ЭЦП, поскольку это будет ключевым основанием для установления виновности или невиновности лица.</w:t>
            </w:r>
          </w:p>
          <w:p w:rsidR="00B2720D" w:rsidRPr="00BF36ED" w:rsidRDefault="00B2720D" w:rsidP="00BF36ED">
            <w:pPr>
              <w:autoSpaceDE w:val="0"/>
              <w:autoSpaceDN w:val="0"/>
              <w:adjustRightInd w:val="0"/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Можно </w:t>
            </w:r>
            <w:r w:rsidR="002F1A03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привести примеры из практики министерства. Так, в одном случае дело было прекращено в связи с отсутствием состава административного правонарушения (отсутствие вины)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17CF9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данном </w:t>
            </w:r>
            <w:r w:rsidR="00017CF9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случае было установлено, что должностным  лицом в день назначения были поданы документы на оформление ЭЦП, вместе с тем, по независящим от него причинам ЭЦП</w:t>
            </w:r>
            <w:r w:rsidR="00BF3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рок создания 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сертификата ключа ЭЦП 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осуществляется в течение шести рабочих дней с даты приема документов и сведений, предусмотренных </w:t>
            </w:r>
            <w:hyperlink r:id="rId6" w:history="1">
              <w:r w:rsidR="00BF36ED" w:rsidRPr="00BF36ED">
                <w:rPr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пунктом 4.1</w:t>
              </w:r>
            </w:hyperlink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регламента, утвержденного  Федеральн</w:t>
            </w:r>
            <w:r w:rsid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ым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казначейств</w:t>
            </w:r>
            <w:r w:rsid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ом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), </w:t>
            </w:r>
            <w:r w:rsidR="00017CF9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была получена за пределами срока</w:t>
            </w:r>
            <w:r w:rsidR="00BF36ED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017CF9" w:rsidRPr="00BF3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когда должна была быть исполнена соответствующая обязанность.</w:t>
            </w:r>
            <w:r w:rsidR="00BF3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этом, министерством также было учтено то обстоятельство, что информация в реестр контрактов была направлена незамедлительно после получения руководителем ЭЦП.</w:t>
            </w:r>
          </w:p>
          <w:p w:rsidR="003D273D" w:rsidRPr="00011CC8" w:rsidRDefault="00017CF9" w:rsidP="00BF36ED">
            <w:pPr>
              <w:ind w:left="176" w:right="124" w:firstLine="425"/>
              <w:jc w:val="both"/>
              <w:rPr>
                <w:rFonts w:ascii="Times New Roman" w:hAnsi="Times New Roman"/>
                <w:bCs/>
                <w:color w:val="4F81BD" w:themeColor="accent1"/>
                <w:sz w:val="24"/>
                <w:szCs w:val="24"/>
              </w:rPr>
            </w:pPr>
            <w:r w:rsidRPr="00BF3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другом случае, руководитель учреждения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 привлечен к административной ответственности по части 2 статьи 7.31 КоАП РФ, поскольку им не были</w:t>
            </w: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предприняты действия по наделению ЭЦП</w:t>
            </w:r>
            <w:r w:rsidR="005B4325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должностных лиц</w:t>
            </w: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что повлекло за собой </w:t>
            </w:r>
            <w:proofErr w:type="spellStart"/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ненаправление</w:t>
            </w:r>
            <w:proofErr w:type="spellEnd"/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реестр контрактов информации о заключении</w:t>
            </w:r>
            <w:r w:rsidR="00BF3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контракта</w:t>
            </w: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5B4325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ходе рассмотрения дела было установлено</w:t>
            </w:r>
            <w:r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что в период с </w:t>
            </w:r>
            <w:r w:rsidR="003D273D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 августа 2018 го</w:t>
            </w:r>
            <w:r w:rsidR="005B4325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да </w:t>
            </w:r>
            <w:r w:rsidR="003D273D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12 апреля 2019 го</w:t>
            </w:r>
            <w:r w:rsidR="005B4325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да </w:t>
            </w:r>
            <w:r w:rsidR="003D273D" w:rsidRPr="00011C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правом электронной подписи сотрудники учреждения не наделялись.</w:t>
            </w:r>
            <w:r w:rsidR="00BF3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1CC8" w:rsidRPr="00011CC8" w:rsidTr="00866140">
        <w:trPr>
          <w:trHeight w:val="19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  <w:vAlign w:val="center"/>
          </w:tcPr>
          <w:p w:rsidR="00B70722" w:rsidRPr="00011CC8" w:rsidRDefault="00B70722" w:rsidP="00BF36ED">
            <w:pPr>
              <w:ind w:left="176" w:right="124" w:firstLine="425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011CC8" w:rsidRPr="00011CC8" w:rsidTr="00866140">
        <w:trPr>
          <w:trHeight w:val="378"/>
          <w:jc w:val="center"/>
        </w:trPr>
        <w:tc>
          <w:tcPr>
            <w:tcW w:w="280" w:type="dxa"/>
            <w:vAlign w:val="center"/>
          </w:tcPr>
          <w:p w:rsidR="005913A5" w:rsidRPr="00011CC8" w:rsidRDefault="005913A5" w:rsidP="007D1626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3.</w:t>
            </w:r>
          </w:p>
        </w:tc>
        <w:tc>
          <w:tcPr>
            <w:tcW w:w="2300" w:type="dxa"/>
            <w:vAlign w:val="center"/>
          </w:tcPr>
          <w:p w:rsidR="005913A5" w:rsidRPr="00011CC8" w:rsidRDefault="005913A5" w:rsidP="00B55B18">
            <w:pPr>
              <w:ind w:left="-108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F36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АМО </w:t>
            </w:r>
            <w:proofErr w:type="spellStart"/>
            <w:r w:rsidRPr="00BF36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F36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352" w:type="dxa"/>
            <w:vAlign w:val="center"/>
          </w:tcPr>
          <w:p w:rsidR="005913A5" w:rsidRPr="00BF36ED" w:rsidRDefault="005913A5" w:rsidP="005E16BD">
            <w:pPr>
              <w:ind w:left="26" w:right="102" w:firstLine="27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36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Вопрос:</w:t>
            </w:r>
          </w:p>
          <w:p w:rsidR="005913A5" w:rsidRPr="00011CC8" w:rsidRDefault="005913A5" w:rsidP="00BF36ED">
            <w:pPr>
              <w:ind w:left="26" w:right="102" w:firstLine="276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каких случаях при отсутствии проекта,</w:t>
            </w:r>
            <w:r w:rsidR="00BF36ED"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проектной документации, </w:t>
            </w:r>
            <w:r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 при наличии сметы «закупки работ по строительству, реконструкции, капитальному ремонту, сносу объекта капитального строительства» заказчик может не руководствоваться правилами п. 8 ч. 1 ст. 33 Закона</w:t>
            </w:r>
            <w:r w:rsidR="00C513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44</w:t>
            </w:r>
            <w:r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 обязан составлять описание объекта закупки в соответствии с требованиями ст. 33 Закона</w:t>
            </w:r>
            <w:r w:rsidR="00C513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44</w:t>
            </w:r>
            <w:r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включая </w:t>
            </w:r>
            <w:r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требования к описанию характеристик товара, используемого при выполнении работ.</w:t>
            </w:r>
          </w:p>
        </w:tc>
        <w:tc>
          <w:tcPr>
            <w:tcW w:w="6905" w:type="dxa"/>
          </w:tcPr>
          <w:p w:rsidR="00C12643" w:rsidRDefault="00F856E1" w:rsidP="00C12643">
            <w:pPr>
              <w:autoSpaceDE w:val="0"/>
              <w:autoSpaceDN w:val="0"/>
              <w:adjustRightInd w:val="0"/>
              <w:ind w:left="176" w:right="124" w:firstLine="47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6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Ответ.</w:t>
            </w:r>
            <w:r w:rsidR="00132A71" w:rsidRPr="00BF36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DF42CD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По мнению министерства</w:t>
            </w:r>
            <w:r w:rsidR="00BF36E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DF42CD" w:rsidRPr="00BF36E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DF42CD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132A71" w:rsidRPr="00BF36ED">
              <w:rPr>
                <w:rFonts w:ascii="Times New Roman" w:hAnsi="Times New Roman"/>
                <w:color w:val="auto"/>
                <w:sz w:val="24"/>
                <w:szCs w:val="24"/>
              </w:rPr>
              <w:t>акие случаи не преду</w:t>
            </w:r>
            <w:r w:rsidR="00C126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смотрены, поскольку согласно положениям </w:t>
            </w:r>
            <w:r w:rsidR="00C12643" w:rsidRPr="00621D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Градостроительного Кодекса РФ работы </w:t>
            </w:r>
            <w:r w:rsidR="00C12643" w:rsidRPr="00BF36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строительству, реконструкции, капитальному ремонту, сносу объекта капитального строительства</w:t>
            </w:r>
            <w:r w:rsidR="00C12643" w:rsidRPr="00621D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осуществляются н</w:t>
            </w:r>
            <w:r w:rsidR="00C126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основании, в том числе сметы, </w:t>
            </w:r>
            <w:r w:rsidR="00C12643">
              <w:rPr>
                <w:rFonts w:ascii="Times New Roman" w:hAnsi="Times New Roman"/>
                <w:sz w:val="24"/>
                <w:szCs w:val="24"/>
              </w:rPr>
              <w:t>поскольку смета является частью проектной документации.</w:t>
            </w:r>
          </w:p>
          <w:p w:rsidR="002D2BDC" w:rsidRDefault="00C12643" w:rsidP="00C12643">
            <w:pPr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Следует отметить, что пункт 8 части 1 статьи 33 Закона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44 </w:t>
            </w:r>
            <w:r w:rsidR="002D2B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определяет правила описания объекта закупки,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2D2B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устанавливает состав документации о закупке и</w:t>
            </w:r>
            <w:r w:rsidR="002D2B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является основанием для определения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состава </w:t>
            </w:r>
            <w:r w:rsidR="002D2BDC">
              <w:rPr>
                <w:rFonts w:ascii="Times New Roman" w:hAnsi="Times New Roman"/>
                <w:color w:val="auto"/>
                <w:sz w:val="24"/>
                <w:szCs w:val="24"/>
              </w:rPr>
              <w:t>первых частей заявок на участие в закупке.</w:t>
            </w:r>
          </w:p>
          <w:p w:rsidR="00D6163D" w:rsidRDefault="002D2BDC" w:rsidP="00386464">
            <w:pPr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Так,</w:t>
            </w:r>
            <w:r w:rsidR="00D616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случае </w:t>
            </w:r>
            <w:r w:rsidR="00D6163D" w:rsidRPr="00D6163D">
              <w:rPr>
                <w:rFonts w:ascii="Times New Roman" w:hAnsi="Times New Roman"/>
                <w:color w:val="auto"/>
                <w:sz w:val="24"/>
                <w:szCs w:val="24"/>
              </w:rPr>
              <w:t>включения в документацию о закупке проектной до</w:t>
            </w:r>
            <w:r w:rsidR="00D616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кументации, в том числе сметы, заявка участника </w:t>
            </w:r>
            <w:r w:rsidR="00D6163D" w:rsidRPr="00D6163D">
              <w:rPr>
                <w:rFonts w:ascii="Times New Roman" w:hAnsi="Times New Roman"/>
                <w:color w:val="auto"/>
                <w:sz w:val="24"/>
                <w:szCs w:val="24"/>
              </w:rPr>
              <w:t>должна содержать исключительно согласие участника закупки на выполнение работ на условиях, предусмотренных документацией об электронном аукционе (такое согласие дается с использованием программно-аппаратных средств электронной площад</w:t>
            </w:r>
            <w:r w:rsidR="00D616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ки) (часть </w:t>
            </w:r>
            <w:r w:rsidR="00D6163D" w:rsidRPr="00C51331">
              <w:rPr>
                <w:rFonts w:ascii="Times New Roman" w:hAnsi="Times New Roman"/>
                <w:color w:val="auto"/>
                <w:sz w:val="24"/>
                <w:szCs w:val="24"/>
              </w:rPr>
              <w:t>3.1. статьи 66 Закона №</w:t>
            </w:r>
            <w:r w:rsidR="00D616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44).</w:t>
            </w:r>
          </w:p>
          <w:p w:rsidR="00386464" w:rsidRPr="00386464" w:rsidRDefault="00D6163D" w:rsidP="00386464">
            <w:pPr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386464" w:rsidRPr="003864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ребовать от участника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закупки</w:t>
            </w:r>
            <w:r w:rsidR="00386464" w:rsidRPr="003864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представления иных документов и информации, за исключением предусмотренных частями 3 и 5 статьи 66 Закона </w:t>
            </w:r>
            <w:r w:rsidR="003864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44 </w:t>
            </w:r>
            <w:r w:rsidR="00386464" w:rsidRPr="00386464">
              <w:rPr>
                <w:rFonts w:ascii="Times New Roman" w:hAnsi="Times New Roman"/>
                <w:color w:val="auto"/>
                <w:sz w:val="24"/>
                <w:szCs w:val="24"/>
              </w:rPr>
              <w:t>документов и информации, не допускается.</w:t>
            </w:r>
          </w:p>
          <w:p w:rsidR="00D07BDE" w:rsidRPr="00011CC8" w:rsidRDefault="005B4325" w:rsidP="002D2BDC">
            <w:pPr>
              <w:ind w:left="176" w:right="124" w:firstLine="425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513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(Решение УФАС по г. Санкт-Петербургу от 18.07.2019 № 44-3758/19, Решение УФАС по Липецкой области от 26.08.2019 № 048/06/105-628/2019, </w:t>
            </w:r>
            <w:r w:rsidR="0055284A" w:rsidRPr="00C51331">
              <w:rPr>
                <w:rFonts w:ascii="Times New Roman" w:hAnsi="Times New Roman"/>
                <w:color w:val="auto"/>
                <w:sz w:val="24"/>
                <w:szCs w:val="24"/>
              </w:rPr>
              <w:t>УФАС по Сахалинской области от 21.08.2019 по делу № 065/06/106-296/2019, УФАС по Новгородской области от 07.08.2019 №</w:t>
            </w:r>
            <w:r w:rsidR="00FB3C6B" w:rsidRPr="00C513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053/06/66-347/2019</w:t>
            </w:r>
            <w:r w:rsidR="0055284A" w:rsidRPr="00C513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УФАС России от </w:t>
            </w:r>
            <w:r w:rsidR="0055284A" w:rsidRPr="00C5133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09.09.2019 № 19/44/105/2416).</w:t>
            </w:r>
          </w:p>
        </w:tc>
      </w:tr>
      <w:tr w:rsidR="00011CC8" w:rsidRPr="00011CC8" w:rsidTr="00866140">
        <w:trPr>
          <w:trHeight w:val="45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</w:tcPr>
          <w:p w:rsidR="00E45E52" w:rsidRPr="00011CC8" w:rsidRDefault="00E45E52" w:rsidP="00BF36ED">
            <w:pPr>
              <w:ind w:left="176" w:right="124" w:firstLine="425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011CC8" w:rsidRPr="00011CC8" w:rsidTr="00866140">
        <w:trPr>
          <w:trHeight w:val="100"/>
          <w:jc w:val="center"/>
        </w:trPr>
        <w:tc>
          <w:tcPr>
            <w:tcW w:w="280" w:type="dxa"/>
            <w:vAlign w:val="center"/>
          </w:tcPr>
          <w:p w:rsidR="005913A5" w:rsidRPr="00BF36ED" w:rsidRDefault="005913A5" w:rsidP="007D1626">
            <w:pPr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6E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300" w:type="dxa"/>
            <w:vAlign w:val="center"/>
          </w:tcPr>
          <w:p w:rsidR="005913A5" w:rsidRPr="00BF36ED" w:rsidRDefault="0043605C" w:rsidP="0043605C">
            <w:pPr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6ED">
              <w:rPr>
                <w:rFonts w:ascii="Times New Roman" w:hAnsi="Times New Roman"/>
                <w:color w:val="auto"/>
                <w:sz w:val="24"/>
                <w:szCs w:val="24"/>
              </w:rPr>
              <w:t>АМО Кавказский район</w:t>
            </w:r>
            <w:r w:rsidRPr="00BF36E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2" w:type="dxa"/>
            <w:vAlign w:val="center"/>
          </w:tcPr>
          <w:p w:rsidR="005913A5" w:rsidRPr="00BF36ED" w:rsidRDefault="0043605C" w:rsidP="0043605C">
            <w:pPr>
              <w:ind w:left="26" w:right="102" w:firstLine="304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BF36ED">
              <w:rPr>
                <w:rFonts w:ascii="Times New Roman" w:hAnsi="Times New Roman"/>
                <w:color w:val="auto"/>
                <w:sz w:val="24"/>
                <w:szCs w:val="24"/>
              </w:rPr>
              <w:t>На семинаре предлагаем рассмотреть порядок применения пунктов 8 и 9 части 1 статьи 95 Закона при изменении существенных условий контракта в части продления срока исполнения контракта.</w:t>
            </w:r>
          </w:p>
        </w:tc>
        <w:tc>
          <w:tcPr>
            <w:tcW w:w="6905" w:type="dxa"/>
          </w:tcPr>
          <w:p w:rsidR="00F856E1" w:rsidRPr="0044020B" w:rsidRDefault="00F856E1" w:rsidP="00BF36ED">
            <w:pPr>
              <w:ind w:left="176" w:right="124" w:firstLine="42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4020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Ответ.</w:t>
            </w:r>
          </w:p>
          <w:p w:rsidR="0017391C" w:rsidRPr="0017391C" w:rsidRDefault="0017391C" w:rsidP="0017391C">
            <w:pPr>
              <w:tabs>
                <w:tab w:val="left" w:pos="6526"/>
              </w:tabs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17391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 1 июля 2019 г. Федеральным законом от 01.05.2019</w:t>
            </w:r>
            <w:r w:rsidR="00CA0F7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г.</w:t>
            </w:r>
            <w:r w:rsidRPr="0017391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br/>
              <w:t>№</w:t>
            </w:r>
            <w:r w:rsidRPr="0017391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71-ФЗ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введены действия пункты 8 и 9 части 1 ст</w:t>
            </w:r>
            <w:r w:rsidR="00CA0F7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95 Закона № 44-ФЗ, предусматривающие возможность изменения условий контрактов, п</w:t>
            </w:r>
            <w:r w:rsidRPr="0017391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редметом котор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ых</w:t>
            </w:r>
            <w:r w:rsidRPr="0017391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го наследия.</w:t>
            </w:r>
          </w:p>
          <w:p w:rsidR="0017391C" w:rsidRDefault="00EA3610" w:rsidP="000D2196">
            <w:pPr>
              <w:tabs>
                <w:tab w:val="left" w:pos="6526"/>
              </w:tabs>
              <w:ind w:left="176" w:right="124" w:firstLine="42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>В соответствии с пунктом 8</w:t>
            </w:r>
            <w:r w:rsidRPr="00315C13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части 1 статьи 95 Закона №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44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у заказчика появилась возможность </w:t>
            </w:r>
            <w:r w:rsidRPr="00EA361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изменить существенные условия контракта, если это не приведет к увеличению срока исполнения контракта и (или) его цены более чем на 30%.</w:t>
            </w:r>
          </w:p>
          <w:p w:rsidR="0047055B" w:rsidRDefault="0047055B" w:rsidP="000D2196">
            <w:pPr>
              <w:tabs>
                <w:tab w:val="left" w:pos="6526"/>
              </w:tabs>
              <w:ind w:left="176" w:right="124" w:firstLine="42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4705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Такое изменение допускается, если контракт заключен на год и более, а цена равна или превышает 100 млн руб., при условии, что в ходе его исполнения возникли независящие от </w:t>
            </w:r>
            <w:r w:rsidRPr="004705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сторон обстоятельства, из-за которых работы выполнить нельзя. Для изменения условий нужно письменное обоснование, основанное на решении уполномоченного органа: Правительства РФ, высшего исполнительного органа рег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иона либо местной администрации.</w:t>
            </w:r>
          </w:p>
          <w:p w:rsidR="00EA3610" w:rsidRDefault="00EA3610" w:rsidP="0047055B">
            <w:pPr>
              <w:tabs>
                <w:tab w:val="left" w:pos="6526"/>
              </w:tabs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A3610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Согласно пункту </w:t>
            </w:r>
            <w:r w:rsidR="001E1AC5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EA3610">
              <w:rPr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части 1 статьи 95 Закона № 44 </w:t>
            </w:r>
            <w:r w:rsidRPr="00EA361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заказчик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вправе изменить </w:t>
            </w:r>
            <w:r w:rsidRPr="00EA361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срок исполнения контракта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, но </w:t>
            </w:r>
            <w:r w:rsid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только </w:t>
            </w:r>
            <w:r w:rsidRPr="00EA361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один раз </w:t>
            </w:r>
            <w:r w:rsid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и </w:t>
            </w:r>
            <w:r w:rsidRPr="00EA361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срок, который не превышает первоначальный срок исполнения контракта</w:t>
            </w:r>
            <w:r w:rsid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1E1AC5" w:rsidRDefault="001E1AC5" w:rsidP="0047055B">
            <w:pPr>
              <w:tabs>
                <w:tab w:val="left" w:pos="6526"/>
              </w:tabs>
              <w:ind w:left="176" w:right="124" w:firstLine="425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Указанную норму Закона № 44 заказчик может применить, в случае если контракт </w:t>
            </w:r>
            <w:r w:rsidRP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не исполнен в установленный в контракте срок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 независящим от сторон контракта обстоятельствам, влекущим невозможность его исполнения, в том числе необходимость внесения изменений в проектную документацию, либо по вине подрядчика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7055B" w:rsidRPr="0047055B" w:rsidRDefault="0047055B" w:rsidP="0047055B">
            <w:pPr>
              <w:autoSpaceDE w:val="0"/>
              <w:autoSpaceDN w:val="0"/>
              <w:adjustRightInd w:val="0"/>
              <w:ind w:left="176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Если контракт</w:t>
            </w:r>
            <w:r w:rsidRPr="004705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не исполнен в срок по вине подрядчика,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изменение срока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при условии отсутствия неисполненных подрядчиком требований об уплате неустоек (штрафов, пеней), предъявленных заказчиком в соответствии с Законом № 44,  предоставления подрядчиком в соответствии с Законом № 44 обеспечения исполнения контракта на новый срок.</w:t>
            </w:r>
            <w:r w:rsidRP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Так, </w:t>
            </w:r>
            <w:r w:rsidRPr="004705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действия банковской гарантии, предоставленной в качестве обеспечения исполнения контракта, должен превышать не менее чем на месяц измененный срок исполнения контракта (</w:t>
            </w:r>
            <w:hyperlink r:id="rId7" w:history="1">
              <w:r w:rsidRPr="0047055B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ч. 3 ст. 96</w:t>
              </w:r>
            </w:hyperlink>
            <w:r w:rsidRPr="004705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Закона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4705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44-ФЗ).</w:t>
            </w:r>
          </w:p>
          <w:p w:rsidR="00DC26B6" w:rsidRPr="00011CC8" w:rsidRDefault="00717C8B" w:rsidP="0047055B">
            <w:pPr>
              <w:ind w:left="176" w:right="124" w:firstLine="425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315C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Оформляются </w:t>
            </w:r>
            <w:r w:rsidR="001E1AC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вышеперечисленные </w:t>
            </w:r>
            <w:r w:rsidRPr="00315C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изменения путем подписания дополнительного соглашения к контракту</w:t>
            </w:r>
            <w:r w:rsidR="004705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315C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а информация об изменении контракта направляется заказчиками в течение пяти рабочих дней с даты изменения для включения в реестр контрактов (п. 8 ч. 2, </w:t>
            </w:r>
            <w:proofErr w:type="spellStart"/>
            <w:r w:rsidRPr="00315C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ч.ч</w:t>
            </w:r>
            <w:proofErr w:type="spellEnd"/>
            <w:r w:rsidRPr="00315C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3 ст. 103 Закона </w:t>
            </w:r>
            <w:r w:rsidR="004705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№</w:t>
            </w:r>
            <w:r w:rsidRPr="00315C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44</w:t>
            </w:r>
            <w:r w:rsidR="004705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11CC8" w:rsidRPr="00011CC8" w:rsidTr="00866140">
        <w:trPr>
          <w:trHeight w:val="12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  <w:vAlign w:val="center"/>
          </w:tcPr>
          <w:p w:rsidR="00E45E52" w:rsidRPr="00011CC8" w:rsidRDefault="00E45E52" w:rsidP="00BF36ED">
            <w:pPr>
              <w:ind w:left="176" w:right="124" w:firstLine="425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011CC8" w:rsidRPr="00011CC8" w:rsidTr="00866140">
        <w:trPr>
          <w:trHeight w:val="24"/>
          <w:jc w:val="center"/>
        </w:trPr>
        <w:tc>
          <w:tcPr>
            <w:tcW w:w="280" w:type="dxa"/>
            <w:vAlign w:val="center"/>
          </w:tcPr>
          <w:p w:rsidR="006B6F93" w:rsidRPr="00011CC8" w:rsidRDefault="006B6F93" w:rsidP="007D1626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5.</w:t>
            </w:r>
          </w:p>
        </w:tc>
        <w:tc>
          <w:tcPr>
            <w:tcW w:w="2300" w:type="dxa"/>
            <w:vAlign w:val="center"/>
          </w:tcPr>
          <w:p w:rsidR="006B6F93" w:rsidRPr="00011CC8" w:rsidRDefault="0043605C" w:rsidP="007D1626">
            <w:pPr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АМО </w:t>
            </w:r>
            <w:proofErr w:type="spellStart"/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352" w:type="dxa"/>
            <w:vAlign w:val="center"/>
          </w:tcPr>
          <w:p w:rsidR="0043605C" w:rsidRPr="00011CC8" w:rsidRDefault="0043605C" w:rsidP="0043605C">
            <w:pPr>
              <w:ind w:left="26" w:right="102" w:firstLine="30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Решение проблемы по рассмотрению нарушений, связанных с несоблюдением требований законодательства Российской Федерации о контрактной системе в сфере закупок при планировании закупок, квалифицируемых по ст. 7.29.3 КоАП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РФ.</w:t>
            </w:r>
          </w:p>
          <w:p w:rsidR="006B6F93" w:rsidRPr="00011CC8" w:rsidRDefault="0043605C" w:rsidP="004104EC">
            <w:pPr>
              <w:ind w:left="26" w:right="102" w:firstLine="3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 соответствии с п. 1 ч. 22 ст. 99 Закона, уполномоченный орган в сфере закупок вправе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правонарушениях. Однако, п. 7 ст. 28.3 КоАП РФ должностные лица органов местного самоуправления не вправе составлять протоколы об административных правонарушениях за нарушение законодательства Российской Федерации о контрактной системе в сфере закупок. Ожидается ли решение по разночтению в законодательстве?</w:t>
            </w:r>
          </w:p>
        </w:tc>
        <w:tc>
          <w:tcPr>
            <w:tcW w:w="6905" w:type="dxa"/>
            <w:vAlign w:val="center"/>
          </w:tcPr>
          <w:p w:rsidR="00751EFC" w:rsidRPr="00011CC8" w:rsidRDefault="004D69BF" w:rsidP="00BF36ED">
            <w:pPr>
              <w:widowControl w:val="0"/>
              <w:ind w:left="176" w:right="124"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Ответ.</w:t>
            </w:r>
          </w:p>
          <w:p w:rsidR="004104EC" w:rsidRPr="00011CC8" w:rsidRDefault="00751EFC" w:rsidP="00BF36ED">
            <w:pPr>
              <w:widowControl w:val="0"/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говорилось ранее</w:t>
            </w:r>
            <w:r w:rsidR="004104E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механизм применения мер ответственности к муниципальным заказчикам за нарушения законодательства о контрактной системе в сфере закупок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планировании закупок по статье 7.29.3 КоАП РФ </w:t>
            </w:r>
            <w:r w:rsidR="004104E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реализован не в полной мере.</w:t>
            </w:r>
          </w:p>
          <w:p w:rsidR="006B6F93" w:rsidRPr="00011CC8" w:rsidRDefault="004104EC" w:rsidP="00BF36ED">
            <w:pPr>
              <w:widowControl w:val="0"/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ближайшее время 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</w:t>
            </w:r>
            <w:r w:rsidR="00011CC8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пробелы законодательства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скорее всего, буд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устранен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поскольку сейчас проходит процедуру согласования разработанный Московской областной Думой Российской Федерации проект нормативного правового акта «О внесении изменений в статьи 23.1 и 28.3 Кодекса Российской Федерации об административных правонарушениях» (Законопроект № 685434-7 (http://sozd.duma.gov.ru/bill/685434-7), в случае принятия которого муниципальным органам финансового контроля будут предоставлены полномочия по составлению протоколов за совершение нарушений при планировании закупок по статье 7.29.3 КоАП РФ и приемке результатов исполнения контрактов по частям 8 - 10 статьи 7.32 КоАП РФ. Рассматривать такие протоколы будут суды. </w:t>
            </w:r>
          </w:p>
        </w:tc>
      </w:tr>
      <w:tr w:rsidR="00011CC8" w:rsidRPr="00011CC8" w:rsidTr="00866140">
        <w:trPr>
          <w:trHeight w:val="24"/>
          <w:jc w:val="center"/>
        </w:trPr>
        <w:tc>
          <w:tcPr>
            <w:tcW w:w="280" w:type="dxa"/>
            <w:shd w:val="clear" w:color="auto" w:fill="C6D9F1" w:themeFill="text2" w:themeFillTint="33"/>
            <w:vAlign w:val="center"/>
          </w:tcPr>
          <w:p w:rsidR="00501AB9" w:rsidRPr="00011CC8" w:rsidRDefault="00501AB9" w:rsidP="007D1626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sz w:val="10"/>
                <w:szCs w:val="10"/>
              </w:rPr>
            </w:pPr>
          </w:p>
        </w:tc>
        <w:tc>
          <w:tcPr>
            <w:tcW w:w="2300" w:type="dxa"/>
            <w:shd w:val="clear" w:color="auto" w:fill="C6D9F1" w:themeFill="text2" w:themeFillTint="33"/>
            <w:vAlign w:val="center"/>
          </w:tcPr>
          <w:p w:rsidR="00501AB9" w:rsidRPr="00011CC8" w:rsidRDefault="00501AB9" w:rsidP="007D1626">
            <w:pPr>
              <w:ind w:left="-108"/>
              <w:rPr>
                <w:rFonts w:ascii="Times New Roman" w:eastAsia="Times New Roman" w:hAnsi="Times New Roman"/>
                <w:color w:val="4F81BD" w:themeColor="accent1"/>
                <w:sz w:val="10"/>
                <w:szCs w:val="10"/>
                <w:lang w:eastAsia="ru-RU"/>
              </w:rPr>
            </w:pPr>
          </w:p>
        </w:tc>
        <w:tc>
          <w:tcPr>
            <w:tcW w:w="6352" w:type="dxa"/>
            <w:shd w:val="clear" w:color="auto" w:fill="C6D9F1" w:themeFill="text2" w:themeFillTint="33"/>
            <w:vAlign w:val="center"/>
          </w:tcPr>
          <w:p w:rsidR="00501AB9" w:rsidRPr="00011CC8" w:rsidRDefault="00501AB9" w:rsidP="005E16BD">
            <w:pPr>
              <w:ind w:left="26" w:right="102"/>
              <w:jc w:val="center"/>
              <w:rPr>
                <w:rFonts w:ascii="Times New Roman" w:hAnsi="Times New Roman"/>
                <w:color w:val="4F81BD" w:themeColor="accent1"/>
                <w:sz w:val="10"/>
                <w:szCs w:val="10"/>
              </w:rPr>
            </w:pPr>
          </w:p>
        </w:tc>
        <w:tc>
          <w:tcPr>
            <w:tcW w:w="6905" w:type="dxa"/>
            <w:shd w:val="clear" w:color="auto" w:fill="C6D9F1" w:themeFill="text2" w:themeFillTint="33"/>
            <w:vAlign w:val="center"/>
          </w:tcPr>
          <w:p w:rsidR="00501AB9" w:rsidRPr="00011CC8" w:rsidRDefault="00501AB9" w:rsidP="00BF36ED">
            <w:pPr>
              <w:ind w:left="176" w:right="124" w:firstLine="425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011CC8" w:rsidRPr="00011CC8" w:rsidTr="00866140">
        <w:trPr>
          <w:trHeight w:val="24"/>
          <w:jc w:val="center"/>
        </w:trPr>
        <w:tc>
          <w:tcPr>
            <w:tcW w:w="280" w:type="dxa"/>
            <w:vAlign w:val="center"/>
          </w:tcPr>
          <w:p w:rsidR="00501AB9" w:rsidRPr="00011CC8" w:rsidRDefault="00ED7CFD" w:rsidP="00501AB9">
            <w:pPr>
              <w:ind w:right="-108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011CC8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6.</w:t>
            </w:r>
          </w:p>
        </w:tc>
        <w:tc>
          <w:tcPr>
            <w:tcW w:w="2300" w:type="dxa"/>
            <w:vAlign w:val="center"/>
          </w:tcPr>
          <w:p w:rsidR="00501AB9" w:rsidRPr="00011CC8" w:rsidRDefault="00DC74FF" w:rsidP="007D1626">
            <w:pPr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АМО </w:t>
            </w:r>
            <w:proofErr w:type="spellStart"/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11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352" w:type="dxa"/>
            <w:vAlign w:val="center"/>
          </w:tcPr>
          <w:p w:rsidR="00DC74FF" w:rsidRPr="00011CC8" w:rsidRDefault="00DC74FF" w:rsidP="001A57BC">
            <w:pPr>
              <w:ind w:left="26" w:right="102" w:firstLine="3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В апреле 2019 года в ЕИС в сфере закупок заказчиком размещено извещение о проведении электронного аукциона с объектом закупки «Капитальный ремонт административного здания». По результатам электронного аукциона 02.07.2019 г. между заказчиком и победителем электронного аукциона заключен контракт.</w:t>
            </w:r>
          </w:p>
          <w:p w:rsidR="00DC74FF" w:rsidRPr="00011CC8" w:rsidRDefault="00751EFC" w:rsidP="001A57BC">
            <w:pPr>
              <w:ind w:left="26" w:right="102" w:firstLine="3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В</w:t>
            </w:r>
            <w:r w:rsidR="00DC74F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контракте также содержится условие, что </w:t>
            </w:r>
            <w:r w:rsidR="00DC74FF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заключении и исполнении контракта изменение его условий не допускается, за исключением их изменения по соглашению сторон в случаях, предусмотренных статьями 34 и 95 Закона.</w:t>
            </w:r>
          </w:p>
          <w:p w:rsidR="00DC74FF" w:rsidRPr="00011CC8" w:rsidRDefault="00DC74FF" w:rsidP="001A57BC">
            <w:pPr>
              <w:ind w:left="26" w:right="102" w:firstLine="30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Вопрос:</w:t>
            </w:r>
          </w:p>
          <w:p w:rsidR="00501AB9" w:rsidRPr="00011CC8" w:rsidRDefault="00DC74FF" w:rsidP="001A57BC">
            <w:pPr>
              <w:ind w:left="26" w:right="102" w:firstLine="3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ли в рассматриваемом случае в ходе исполнения контракта осуществить изменение существенных условий контракта в соответствии с подпунктом «в» п. 1 ч. 1 ст. 95 Закона, вступившем в силу с 01.07.2019 г.?</w:t>
            </w:r>
          </w:p>
        </w:tc>
        <w:tc>
          <w:tcPr>
            <w:tcW w:w="6905" w:type="dxa"/>
          </w:tcPr>
          <w:p w:rsidR="004D69BF" w:rsidRPr="00011CC8" w:rsidRDefault="004D69BF" w:rsidP="00BF36ED">
            <w:pPr>
              <w:ind w:left="176" w:right="124" w:firstLine="42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Ответ.</w:t>
            </w:r>
          </w:p>
          <w:p w:rsidR="00651D8F" w:rsidRPr="00011CC8" w:rsidRDefault="00651D8F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Правоприменительная практика и разъяснения по заданному вопрос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на сегодняшний день отсутствуе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т. Вместе с тем, министерство полагает, что в указанных обстоятельствах  </w:t>
            </w:r>
            <w:r w:rsidR="003901B9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</w:t>
            </w:r>
            <w:r w:rsidR="00652DB6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«в» п. 1 ч. 1 ст. 95 Закона </w:t>
            </w:r>
            <w:r w:rsidR="0055284A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44 </w:t>
            </w:r>
            <w:r w:rsidR="003901B9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применению </w:t>
            </w:r>
            <w:r w:rsidR="00652DB6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подлежит.</w:t>
            </w:r>
          </w:p>
          <w:p w:rsidR="00E17182" w:rsidRPr="00011CC8" w:rsidRDefault="00A81813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C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Обоснование.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 </w:t>
            </w:r>
            <w:r w:rsidR="0055284A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44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основан, 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том числе на положениях ГК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РФ, а контракт, заключаемый в соот</w:t>
            </w:r>
            <w:r w:rsidR="0055284A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ветствии 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</w:t>
            </w:r>
            <w:hyperlink r:id="rId8" w:history="1">
              <w:r w:rsidR="00651D8F"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="00CA0F7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55284A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 44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представляет собой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гражданско-правовой договор. Таким образом, к отношениям по контрактам применяются положения ГК</w:t>
            </w:r>
            <w:r w:rsidR="003901B9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РФ с учетом особенностей, установленных </w:t>
            </w:r>
            <w:hyperlink r:id="rId9" w:history="1">
              <w:r w:rsidR="00651D8F"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Законом</w:t>
              </w:r>
            </w:hyperlink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о контактной системе.</w:t>
            </w:r>
          </w:p>
          <w:p w:rsidR="0055284A" w:rsidRPr="00011CC8" w:rsidRDefault="00651D8F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 </w:t>
            </w:r>
            <w:hyperlink r:id="rId10" w:anchor="block_422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ст. 422</w:t>
              </w:r>
            </w:hyperlink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ГК РФ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 Если после заключения договора принят закон, устанавливающий обязательные для сторон правила,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      </w:r>
          </w:p>
          <w:p w:rsidR="00751EFC" w:rsidRPr="00011CC8" w:rsidRDefault="00651D8F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Федеральный закон</w:t>
              </w:r>
            </w:hyperlink>
            <w:r w:rsidR="00CA0F7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01.05.2019 № 71-ФЗ, ни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Закон</w:t>
              </w:r>
            </w:hyperlink>
            <w:r w:rsidR="00CA0F7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55284A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44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устанавливают каких-либо специальных правил применения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anchor="block_9511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п. 1 ч. 1 ст. 95</w:t>
              </w:r>
            </w:hyperlink>
            <w:r w:rsidR="00CA0F7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Закона </w:t>
            </w:r>
            <w:r w:rsidR="0055284A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44-ФЗ 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не содержат указание на то, что введенный в действие с 01.07.2019 г. подпункт «в» п. 1 ч. 1 ст. 95 Закона № 44 применяется к договорным отношениям, возникшим до 01.07.2019 г.</w:t>
            </w:r>
          </w:p>
          <w:p w:rsidR="006B72E5" w:rsidRPr="00011CC8" w:rsidRDefault="006B72E5" w:rsidP="00BF36ED">
            <w:pPr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Поскольку документация о закупке и проект контракта были размещены в ЕИС до 1 июля 2019 года (то есть до вступления в силу новой редакции </w:t>
            </w:r>
            <w:hyperlink r:id="rId14" w:anchor="block_9511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п. 1 ч. 1 ст. 95</w:t>
              </w:r>
            </w:hyperlink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Закона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51EFC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44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они не могли предусматривать возможность изменения контракта по основанию, предусмотренному </w:t>
            </w:r>
            <w:hyperlink r:id="rId15" w:anchor="block_9511" w:history="1">
              <w:r w:rsidR="00751EFC"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подп. «</w:t>
              </w:r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в</w:t>
              </w:r>
              <w:r w:rsidR="00751EFC"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»</w:t>
              </w:r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п. 1 ч. 1 ст. 95</w:t>
              </w:r>
            </w:hyperlink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Закона </w:t>
            </w:r>
            <w:r w:rsidR="00651D8F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контрактной </w:t>
            </w:r>
            <w:r w:rsidR="00652DB6"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системе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При таких обстоятельствах, на наш взгляд, в рассматриваемой ситуации </w:t>
            </w:r>
            <w:r w:rsidR="00652DB6"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условие контракта об объеме работ изменено быть не может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21B5F" w:rsidRPr="00011CC8" w:rsidRDefault="00652DB6" w:rsidP="00CA0F79">
            <w:pPr>
              <w:widowControl w:val="0"/>
              <w:ind w:left="176" w:right="124"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Напоминаем, что и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зменение условий контракта в случаях, не предусмотренных</w:t>
            </w:r>
            <w:r w:rsidR="00CA0F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Законом</w:t>
              </w:r>
            </w:hyperlink>
            <w:r w:rsidR="00CA0F79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 контрактной системе влечет административну</w:t>
            </w:r>
            <w:bookmarkStart w:id="0" w:name="_GoBack"/>
            <w:bookmarkEnd w:id="0"/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 ответственность, предусмотренную </w:t>
            </w:r>
            <w:proofErr w:type="spellStart"/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ч.</w:t>
            </w:r>
            <w:hyperlink r:id="rId17" w:anchor="block_7322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ч</w:t>
              </w:r>
              <w:proofErr w:type="spellEnd"/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 4</w:t>
              </w:r>
            </w:hyperlink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hyperlink r:id="rId18" w:anchor="block_7323" w:history="1">
              <w:r w:rsidRPr="00011CC8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5 ст. 7.32</w:t>
              </w:r>
            </w:hyperlink>
            <w:r w:rsidRPr="00011C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КоАП РФ.</w:t>
            </w:r>
          </w:p>
        </w:tc>
      </w:tr>
      <w:tr w:rsidR="00011CC8" w:rsidRPr="00011CC8" w:rsidTr="00866140">
        <w:trPr>
          <w:trHeight w:val="24"/>
          <w:jc w:val="center"/>
        </w:trPr>
        <w:tc>
          <w:tcPr>
            <w:tcW w:w="15837" w:type="dxa"/>
            <w:gridSpan w:val="4"/>
            <w:shd w:val="clear" w:color="auto" w:fill="C6D9F1" w:themeFill="text2" w:themeFillTint="33"/>
            <w:vAlign w:val="center"/>
          </w:tcPr>
          <w:p w:rsidR="00B70722" w:rsidRPr="00011CC8" w:rsidRDefault="00B70722" w:rsidP="005E16BD">
            <w:pPr>
              <w:ind w:left="-108" w:right="-43"/>
              <w:jc w:val="center"/>
              <w:rPr>
                <w:rFonts w:ascii="Times New Roman" w:hAnsi="Times New Roman"/>
                <w:color w:val="4F81BD" w:themeColor="accent1"/>
                <w:sz w:val="10"/>
                <w:szCs w:val="10"/>
              </w:rPr>
            </w:pPr>
          </w:p>
        </w:tc>
      </w:tr>
    </w:tbl>
    <w:p w:rsidR="00C31F8F" w:rsidRPr="00011CC8" w:rsidRDefault="00C31F8F" w:rsidP="00547E3B">
      <w:pPr>
        <w:jc w:val="center"/>
        <w:rPr>
          <w:color w:val="4F81BD" w:themeColor="accent1"/>
        </w:rPr>
      </w:pPr>
    </w:p>
    <w:sectPr w:rsidR="00C31F8F" w:rsidRPr="00011CC8" w:rsidSect="00430B39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2B1B5E1F"/>
    <w:multiLevelType w:val="hybridMultilevel"/>
    <w:tmpl w:val="A8CE7524"/>
    <w:lvl w:ilvl="0" w:tplc="4C388068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AD"/>
    <w:rsid w:val="00011CC8"/>
    <w:rsid w:val="000150FC"/>
    <w:rsid w:val="00017CF9"/>
    <w:rsid w:val="00025EA4"/>
    <w:rsid w:val="00034097"/>
    <w:rsid w:val="000460E4"/>
    <w:rsid w:val="00077FEF"/>
    <w:rsid w:val="000A09AD"/>
    <w:rsid w:val="000D2196"/>
    <w:rsid w:val="000D7256"/>
    <w:rsid w:val="000E1CE3"/>
    <w:rsid w:val="000F487C"/>
    <w:rsid w:val="000F4B52"/>
    <w:rsid w:val="00132A71"/>
    <w:rsid w:val="0013490A"/>
    <w:rsid w:val="00141011"/>
    <w:rsid w:val="00162285"/>
    <w:rsid w:val="0017391C"/>
    <w:rsid w:val="00182301"/>
    <w:rsid w:val="00197209"/>
    <w:rsid w:val="001A57BC"/>
    <w:rsid w:val="001A6D93"/>
    <w:rsid w:val="001E1AC5"/>
    <w:rsid w:val="001E731E"/>
    <w:rsid w:val="00221837"/>
    <w:rsid w:val="002363E7"/>
    <w:rsid w:val="00255F91"/>
    <w:rsid w:val="0025792F"/>
    <w:rsid w:val="002752DF"/>
    <w:rsid w:val="0028798D"/>
    <w:rsid w:val="002B1492"/>
    <w:rsid w:val="002C2E55"/>
    <w:rsid w:val="002D2BDC"/>
    <w:rsid w:val="002E2D07"/>
    <w:rsid w:val="002E3C97"/>
    <w:rsid w:val="002F1A03"/>
    <w:rsid w:val="00315C13"/>
    <w:rsid w:val="00321922"/>
    <w:rsid w:val="00330581"/>
    <w:rsid w:val="003332C0"/>
    <w:rsid w:val="003374F5"/>
    <w:rsid w:val="00343CDB"/>
    <w:rsid w:val="00363125"/>
    <w:rsid w:val="00372609"/>
    <w:rsid w:val="00386464"/>
    <w:rsid w:val="003901B9"/>
    <w:rsid w:val="003B28EB"/>
    <w:rsid w:val="003D273D"/>
    <w:rsid w:val="004104EC"/>
    <w:rsid w:val="00430B39"/>
    <w:rsid w:val="0043605C"/>
    <w:rsid w:val="0043713F"/>
    <w:rsid w:val="0044020B"/>
    <w:rsid w:val="0044053E"/>
    <w:rsid w:val="0044244C"/>
    <w:rsid w:val="0046675D"/>
    <w:rsid w:val="0047055B"/>
    <w:rsid w:val="004A1B57"/>
    <w:rsid w:val="004D64EB"/>
    <w:rsid w:val="004D69BF"/>
    <w:rsid w:val="00501AB9"/>
    <w:rsid w:val="005237AA"/>
    <w:rsid w:val="00530B64"/>
    <w:rsid w:val="00547E3B"/>
    <w:rsid w:val="0055284A"/>
    <w:rsid w:val="00554516"/>
    <w:rsid w:val="005913A5"/>
    <w:rsid w:val="005A6C0E"/>
    <w:rsid w:val="005B4325"/>
    <w:rsid w:val="005B587B"/>
    <w:rsid w:val="005E16BD"/>
    <w:rsid w:val="005E22C2"/>
    <w:rsid w:val="00611FAD"/>
    <w:rsid w:val="00621DA6"/>
    <w:rsid w:val="00651D8F"/>
    <w:rsid w:val="00652DB6"/>
    <w:rsid w:val="006566A7"/>
    <w:rsid w:val="00664C5D"/>
    <w:rsid w:val="00697270"/>
    <w:rsid w:val="006B6F93"/>
    <w:rsid w:val="006B72E5"/>
    <w:rsid w:val="006C7306"/>
    <w:rsid w:val="00717C8B"/>
    <w:rsid w:val="00740B91"/>
    <w:rsid w:val="00751EFC"/>
    <w:rsid w:val="0079074A"/>
    <w:rsid w:val="007B7835"/>
    <w:rsid w:val="007C2F0A"/>
    <w:rsid w:val="007D1626"/>
    <w:rsid w:val="0081339E"/>
    <w:rsid w:val="0081480A"/>
    <w:rsid w:val="00825E75"/>
    <w:rsid w:val="00826263"/>
    <w:rsid w:val="008325A8"/>
    <w:rsid w:val="00866140"/>
    <w:rsid w:val="00872C1C"/>
    <w:rsid w:val="00891A65"/>
    <w:rsid w:val="008A2067"/>
    <w:rsid w:val="008A2774"/>
    <w:rsid w:val="008C5C50"/>
    <w:rsid w:val="008E0E77"/>
    <w:rsid w:val="008E5D8D"/>
    <w:rsid w:val="00956E14"/>
    <w:rsid w:val="0096495C"/>
    <w:rsid w:val="00967DFC"/>
    <w:rsid w:val="00977770"/>
    <w:rsid w:val="00977959"/>
    <w:rsid w:val="0099691D"/>
    <w:rsid w:val="009B4A8E"/>
    <w:rsid w:val="009D6676"/>
    <w:rsid w:val="009D7037"/>
    <w:rsid w:val="00A155AC"/>
    <w:rsid w:val="00A53C86"/>
    <w:rsid w:val="00A57A46"/>
    <w:rsid w:val="00A81813"/>
    <w:rsid w:val="00A922BC"/>
    <w:rsid w:val="00AC301C"/>
    <w:rsid w:val="00AD3018"/>
    <w:rsid w:val="00B056F1"/>
    <w:rsid w:val="00B253DB"/>
    <w:rsid w:val="00B2720D"/>
    <w:rsid w:val="00B55B18"/>
    <w:rsid w:val="00B70722"/>
    <w:rsid w:val="00B70E3A"/>
    <w:rsid w:val="00BD1F81"/>
    <w:rsid w:val="00BE43FA"/>
    <w:rsid w:val="00BF1686"/>
    <w:rsid w:val="00BF36ED"/>
    <w:rsid w:val="00C12643"/>
    <w:rsid w:val="00C31F8F"/>
    <w:rsid w:val="00C42DC3"/>
    <w:rsid w:val="00C51331"/>
    <w:rsid w:val="00C83801"/>
    <w:rsid w:val="00CA0F79"/>
    <w:rsid w:val="00CD2C7A"/>
    <w:rsid w:val="00D0100F"/>
    <w:rsid w:val="00D07BDE"/>
    <w:rsid w:val="00D337BA"/>
    <w:rsid w:val="00D6163D"/>
    <w:rsid w:val="00D93DC4"/>
    <w:rsid w:val="00DC26B6"/>
    <w:rsid w:val="00DC74FF"/>
    <w:rsid w:val="00DF42CD"/>
    <w:rsid w:val="00E14C2F"/>
    <w:rsid w:val="00E17182"/>
    <w:rsid w:val="00E21B5F"/>
    <w:rsid w:val="00E45E52"/>
    <w:rsid w:val="00E52ACA"/>
    <w:rsid w:val="00E560B3"/>
    <w:rsid w:val="00EA3610"/>
    <w:rsid w:val="00EB2A9E"/>
    <w:rsid w:val="00EC7CBA"/>
    <w:rsid w:val="00ED7CFD"/>
    <w:rsid w:val="00F30104"/>
    <w:rsid w:val="00F32B88"/>
    <w:rsid w:val="00F37E8F"/>
    <w:rsid w:val="00F75A7D"/>
    <w:rsid w:val="00F856E1"/>
    <w:rsid w:val="00FA2AC5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4051-5C02-4864-9D79-DCBF4555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A8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E16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E1CE3"/>
    <w:pPr>
      <w:ind w:left="720"/>
      <w:contextualSpacing/>
    </w:pPr>
  </w:style>
  <w:style w:type="paragraph" w:styleId="a8">
    <w:name w:val="Body Text"/>
    <w:basedOn w:val="a"/>
    <w:link w:val="a9"/>
    <w:rsid w:val="003D273D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3D273D"/>
    <w:rPr>
      <w:rFonts w:ascii="Times New Roman" w:eastAsia="Times New Roman" w:hAnsi="Times New Roman"/>
      <w:color w:val="auto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28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734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8030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9491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42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99694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5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26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3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0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60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10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69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7367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6706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" TargetMode="External"/><Relationship Id="rId13" Type="http://schemas.openxmlformats.org/officeDocument/2006/relationships/hyperlink" Target="http://base.garant.ru/70353464/daf75cc17d0d1b8b796480bc59f740b8/" TargetMode="External"/><Relationship Id="rId18" Type="http://schemas.openxmlformats.org/officeDocument/2006/relationships/hyperlink" Target="http://base.garant.ru/12125267/f219ef989439e96eec66f22b5fd152a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2B97B914B70F212E9586B1B93A81FDF1865C815FD08C7940E70D0C89766C4A63CF8AA3357524DE0705864CBBD8B007FADE6325C950gAQ0R" TargetMode="External"/><Relationship Id="rId12" Type="http://schemas.openxmlformats.org/officeDocument/2006/relationships/hyperlink" Target="http://base.garant.ru/70353464/" TargetMode="External"/><Relationship Id="rId17" Type="http://schemas.openxmlformats.org/officeDocument/2006/relationships/hyperlink" Target="http://base.garant.ru/12125267/f219ef989439e96eec66f22b5fd152af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5346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713E1E25DEA63055D5E8C9FD4DD1F1D6E284D679FFE3F8D5A859834F0FD902534F04E74F62363C8B5AAF099FE42E4DED1FFA9F3718028DwAcCG" TargetMode="External"/><Relationship Id="rId11" Type="http://schemas.openxmlformats.org/officeDocument/2006/relationships/hyperlink" Target="http://base.garant.ru/72235286/" TargetMode="External"/><Relationship Id="rId5" Type="http://schemas.openxmlformats.org/officeDocument/2006/relationships/hyperlink" Target="http://10.105.0.17/DELOWEB/Pages/Classif/ClassifInfo.aspx?classif=ORGANIZ_CL&amp;due=0.28C1.28C5." TargetMode="External"/><Relationship Id="rId15" Type="http://schemas.openxmlformats.org/officeDocument/2006/relationships/hyperlink" Target="http://base.garant.ru/70353464/daf75cc17d0d1b8b796480bc59f740b8/" TargetMode="External"/><Relationship Id="rId10" Type="http://schemas.openxmlformats.org/officeDocument/2006/relationships/hyperlink" Target="http://base.garant.ru/10164072/e6710cf641db8ed607e3a95a2b5f5df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" TargetMode="External"/><Relationship Id="rId14" Type="http://schemas.openxmlformats.org/officeDocument/2006/relationships/hyperlink" Target="http://base.garant.ru/70353464/daf75cc17d0d1b8b796480bc59f740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PVasiutka</dc:creator>
  <cp:lastModifiedBy>FShvidko</cp:lastModifiedBy>
  <cp:revision>3</cp:revision>
  <cp:lastPrinted>2019-12-12T06:28:00Z</cp:lastPrinted>
  <dcterms:created xsi:type="dcterms:W3CDTF">2019-12-12T06:29:00Z</dcterms:created>
  <dcterms:modified xsi:type="dcterms:W3CDTF">2019-12-18T14:44:00Z</dcterms:modified>
</cp:coreProperties>
</file>